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9" w:rsidRPr="00232C43" w:rsidRDefault="00A96239" w:rsidP="00A96239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spacing w:val="-1"/>
          <w:lang w:val="ru-RU"/>
        </w:rPr>
        <w:t>339</w:t>
      </w:r>
    </w:p>
    <w:p w:rsidR="00A96239" w:rsidRPr="00232C43" w:rsidRDefault="00A96239" w:rsidP="00A96239">
      <w:pPr>
        <w:ind w:left="666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r w:rsidRPr="00232C43">
        <w:rPr>
          <w:rFonts w:ascii="Calibri" w:hAnsi="Calibri"/>
          <w:lang w:val="ru-RU"/>
        </w:rPr>
        <w:t>інновації</w:t>
      </w:r>
    </w:p>
    <w:p w:rsidR="00A96239" w:rsidRPr="00232C43" w:rsidRDefault="00A96239" w:rsidP="00A96239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26" style="position:absolute;margin-left:69.5pt;margin-top:11.2pt;width:456.45pt;height:.1pt;z-index:251660288;mso-wrap-distance-left:0;mso-wrap-distance-right:0;mso-position-horizontal-relative:page" coordorigin="1390,224" coordsize="9129,2">
            <v:shape id="_x0000_s1027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A96239" w:rsidRPr="00232C43" w:rsidRDefault="00A96239" w:rsidP="00A96239">
      <w:pPr>
        <w:spacing w:before="7"/>
        <w:rPr>
          <w:rFonts w:ascii="Calibri" w:eastAsia="Calibri" w:hAnsi="Calibri" w:cs="Calibri"/>
          <w:sz w:val="13"/>
          <w:szCs w:val="13"/>
          <w:lang w:val="ru-RU"/>
        </w:rPr>
      </w:pPr>
    </w:p>
    <w:p w:rsidR="00A96239" w:rsidRPr="00232C43" w:rsidRDefault="00A96239" w:rsidP="00A96239">
      <w:pPr>
        <w:spacing w:before="64"/>
        <w:ind w:left="138"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sz w:val="28"/>
          <w:lang w:val="ru-RU"/>
        </w:rPr>
        <w:t>УДК</w:t>
      </w:r>
      <w:r w:rsidRPr="00232C43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32C43">
        <w:rPr>
          <w:rFonts w:ascii="Times New Roman" w:hAnsi="Times New Roman"/>
          <w:sz w:val="28"/>
          <w:lang w:val="ru-RU"/>
        </w:rPr>
        <w:t>001.814:002=03</w:t>
      </w:r>
    </w:p>
    <w:p w:rsidR="00A96239" w:rsidRPr="00232C43" w:rsidRDefault="00A96239" w:rsidP="00A96239">
      <w:pPr>
        <w:pStyle w:val="Heading4"/>
        <w:spacing w:before="113"/>
        <w:ind w:left="138" w:right="134"/>
        <w:jc w:val="right"/>
        <w:rPr>
          <w:b w:val="0"/>
          <w:bCs w:val="0"/>
          <w:lang w:val="ru-RU"/>
        </w:rPr>
      </w:pPr>
      <w:bookmarkStart w:id="0" w:name="_bookmark143"/>
      <w:bookmarkEnd w:id="0"/>
      <w:r w:rsidRPr="00232C43">
        <w:rPr>
          <w:lang w:val="ru-RU"/>
        </w:rPr>
        <w:t>Антоніна</w:t>
      </w:r>
      <w:r w:rsidRPr="00232C43">
        <w:rPr>
          <w:spacing w:val="-2"/>
          <w:lang w:val="ru-RU"/>
        </w:rPr>
        <w:t xml:space="preserve"> </w:t>
      </w:r>
      <w:r w:rsidRPr="00232C43">
        <w:rPr>
          <w:lang w:val="ru-RU"/>
        </w:rPr>
        <w:t>Зоряна</w:t>
      </w:r>
    </w:p>
    <w:p w:rsidR="00A96239" w:rsidRPr="00232C43" w:rsidRDefault="00A96239" w:rsidP="00A96239">
      <w:pPr>
        <w:spacing w:before="24"/>
        <w:ind w:left="966" w:right="1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Національна академія керівних кадрів культури і</w:t>
      </w:r>
      <w:r w:rsidRPr="00232C43">
        <w:rPr>
          <w:rFonts w:ascii="Times New Roman" w:hAnsi="Times New Roman"/>
          <w:b/>
          <w:spacing w:val="-22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мистецтв,</w:t>
      </w:r>
    </w:p>
    <w:p w:rsidR="00A96239" w:rsidRPr="00232C43" w:rsidRDefault="00A96239" w:rsidP="00A96239">
      <w:pPr>
        <w:spacing w:before="70"/>
        <w:ind w:left="7309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Київ,</w:t>
      </w:r>
      <w:r w:rsidRPr="00232C43">
        <w:rPr>
          <w:rFonts w:ascii="Times New Roman" w:hAnsi="Times New Roman"/>
          <w:b/>
          <w:spacing w:val="-5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Україна</w:t>
      </w:r>
    </w:p>
    <w:p w:rsidR="00A96239" w:rsidRPr="00232C43" w:rsidRDefault="00A96239" w:rsidP="00A9623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96239" w:rsidRPr="00232C43" w:rsidRDefault="00A96239" w:rsidP="00A96239">
      <w:pPr>
        <w:spacing w:line="261" w:lineRule="auto"/>
        <w:ind w:left="2810" w:right="308" w:hanging="2502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" w:name="_bookmark144"/>
      <w:bookmarkEnd w:id="1"/>
      <w:r w:rsidRPr="00232C43">
        <w:rPr>
          <w:rFonts w:ascii="Times New Roman" w:hAnsi="Times New Roman"/>
          <w:b/>
          <w:sz w:val="30"/>
          <w:lang w:val="ru-RU"/>
        </w:rPr>
        <w:t>ДОСЛІДЖЕННЯ ДОКУМЕНТНОГО ПОТОКУ</w:t>
      </w:r>
      <w:r w:rsidRPr="00232C43">
        <w:rPr>
          <w:rFonts w:ascii="Times New Roman" w:hAnsi="Times New Roman"/>
          <w:b/>
          <w:spacing w:val="-15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ПЕРЕКЛАДІВ: МІЖНАРОДНИЙ</w:t>
      </w:r>
      <w:r w:rsidRPr="00232C43">
        <w:rPr>
          <w:rFonts w:ascii="Times New Roman" w:hAnsi="Times New Roman"/>
          <w:b/>
          <w:spacing w:val="-8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ДОСВІД</w:t>
      </w:r>
    </w:p>
    <w:p w:rsidR="00A96239" w:rsidRPr="00232C43" w:rsidRDefault="00A96239" w:rsidP="00A96239">
      <w:pPr>
        <w:spacing w:before="128"/>
        <w:ind w:left="138" w:right="14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 xml:space="preserve">У тезах висвітлено міжнародний досвід вивчення документних потоків перекладів на прикладі міжнародного дослідницького проекту «А </w:t>
      </w:r>
      <w:r>
        <w:rPr>
          <w:rFonts w:ascii="Times New Roman" w:hAnsi="Times New Roman"/>
          <w:i/>
          <w:sz w:val="28"/>
        </w:rPr>
        <w:t>mapping</w:t>
      </w:r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of</w:t>
      </w:r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translation</w:t>
      </w:r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in</w:t>
      </w:r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the</w:t>
      </w:r>
      <w:r w:rsidRPr="00232C43">
        <w:rPr>
          <w:rFonts w:ascii="Times New Roman" w:hAnsi="Times New Roman"/>
          <w:i/>
          <w:spacing w:val="-27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Euro</w:t>
      </w:r>
      <w:r w:rsidRPr="00232C43">
        <w:rPr>
          <w:rFonts w:ascii="Times New Roman" w:hAnsi="Times New Roman"/>
          <w:i/>
          <w:sz w:val="28"/>
          <w:lang w:val="ru-RU"/>
        </w:rPr>
        <w:t>-</w:t>
      </w:r>
      <w:r>
        <w:rPr>
          <w:rFonts w:ascii="Times New Roman" w:hAnsi="Times New Roman"/>
          <w:i/>
          <w:sz w:val="28"/>
        </w:rPr>
        <w:t>Mediterranean</w:t>
      </w:r>
      <w:r w:rsidRPr="00232C43">
        <w:rPr>
          <w:rFonts w:ascii="Times New Roman" w:hAnsi="Times New Roman"/>
          <w:i/>
          <w:sz w:val="28"/>
          <w:lang w:val="ru-RU"/>
        </w:rPr>
        <w:t>».</w:t>
      </w:r>
    </w:p>
    <w:p w:rsidR="00A96239" w:rsidRPr="00232C43" w:rsidRDefault="00A96239" w:rsidP="00A96239">
      <w:pPr>
        <w:ind w:left="138" w:right="14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Ключові слова: переклад, документний потік, документний потік перекладів.</w:t>
      </w:r>
    </w:p>
    <w:p w:rsidR="00A96239" w:rsidRPr="00232C43" w:rsidRDefault="00A96239" w:rsidP="00A96239">
      <w:pPr>
        <w:spacing w:before="139"/>
        <w:ind w:left="138" w:right="13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В</w:t>
      </w:r>
      <w:r w:rsidRPr="00232C43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тезисах</w:t>
      </w:r>
      <w:r w:rsidRPr="00232C43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освещён</w:t>
      </w:r>
      <w:r w:rsidRPr="00232C43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международный</w:t>
      </w:r>
      <w:r w:rsidRPr="00232C43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опыт</w:t>
      </w:r>
      <w:r w:rsidRPr="00232C43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исследования</w:t>
      </w:r>
      <w:r w:rsidRPr="00232C43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 xml:space="preserve">документных потоков переводов на примере международного исследовательского проекта «А </w:t>
      </w:r>
      <w:r>
        <w:rPr>
          <w:rFonts w:ascii="Times New Roman" w:hAnsi="Times New Roman"/>
          <w:i/>
          <w:sz w:val="28"/>
        </w:rPr>
        <w:t>mapping</w:t>
      </w:r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of</w:t>
      </w:r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translation</w:t>
      </w:r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in</w:t>
      </w:r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the</w:t>
      </w:r>
      <w:r w:rsidRPr="00232C43">
        <w:rPr>
          <w:rFonts w:ascii="Times New Roman" w:hAnsi="Times New Roman"/>
          <w:i/>
          <w:spacing w:val="-34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Euro</w:t>
      </w:r>
      <w:r w:rsidRPr="00232C43">
        <w:rPr>
          <w:rFonts w:ascii="Times New Roman" w:hAnsi="Times New Roman"/>
          <w:i/>
          <w:sz w:val="28"/>
          <w:lang w:val="ru-RU"/>
        </w:rPr>
        <w:t>-</w:t>
      </w:r>
      <w:r>
        <w:rPr>
          <w:rFonts w:ascii="Times New Roman" w:hAnsi="Times New Roman"/>
          <w:i/>
          <w:sz w:val="28"/>
        </w:rPr>
        <w:t>Mediterranean</w:t>
      </w:r>
      <w:r w:rsidRPr="00232C43">
        <w:rPr>
          <w:rFonts w:ascii="Times New Roman" w:hAnsi="Times New Roman"/>
          <w:i/>
          <w:sz w:val="28"/>
          <w:lang w:val="ru-RU"/>
        </w:rPr>
        <w:t>».</w:t>
      </w:r>
    </w:p>
    <w:p w:rsidR="00A96239" w:rsidRPr="00232C43" w:rsidRDefault="00A96239" w:rsidP="00A96239">
      <w:pPr>
        <w:spacing w:line="242" w:lineRule="auto"/>
        <w:ind w:left="138" w:right="134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Ключевые слова: перевод, документный поток, документный поток переводов.</w:t>
      </w:r>
    </w:p>
    <w:p w:rsidR="00A96239" w:rsidRDefault="00A96239" w:rsidP="00A96239">
      <w:pPr>
        <w:spacing w:before="133"/>
        <w:ind w:left="138" w:right="13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The thesis is highlighted international experience in studying of document flows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translations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international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“А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mapping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translation in the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Euro-Mediterranean”.</w:t>
      </w:r>
    </w:p>
    <w:p w:rsidR="00A96239" w:rsidRDefault="00A96239" w:rsidP="00A96239">
      <w:pPr>
        <w:spacing w:line="322" w:lineRule="exact"/>
        <w:ind w:left="846"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Key words:  translation, document flow, document flow of</w:t>
      </w:r>
      <w:r>
        <w:rPr>
          <w:rFonts w:ascii="Times New Roman"/>
          <w:i/>
          <w:spacing w:val="-42"/>
          <w:sz w:val="28"/>
        </w:rPr>
        <w:t xml:space="preserve"> </w:t>
      </w:r>
      <w:r>
        <w:rPr>
          <w:rFonts w:ascii="Times New Roman"/>
          <w:i/>
          <w:sz w:val="28"/>
        </w:rPr>
        <w:t>translations.</w:t>
      </w:r>
    </w:p>
    <w:p w:rsidR="00A96239" w:rsidRPr="00A96239" w:rsidRDefault="00A96239" w:rsidP="00A96239">
      <w:pPr>
        <w:pStyle w:val="a3"/>
        <w:spacing w:before="163" w:line="288" w:lineRule="auto"/>
        <w:ind w:right="130"/>
        <w:jc w:val="both"/>
        <w:rPr>
          <w:lang w:val="ru-RU"/>
        </w:rPr>
      </w:pPr>
      <w:r>
        <w:t xml:space="preserve">Серед найбільш масштабних міжнародних дослідницьких проектів, що присвячені вивченню документних потоків перекладів, слід зазначити «А </w:t>
      </w:r>
      <w:r>
        <w:rPr>
          <w:rFonts w:cs="Times New Roman"/>
        </w:rPr>
        <w:t>mapping of translation in the Euro-</w:t>
      </w:r>
      <w:r>
        <w:t>Mediterranean», загальні</w:t>
      </w:r>
      <w:r>
        <w:rPr>
          <w:spacing w:val="-7"/>
        </w:rPr>
        <w:t xml:space="preserve"> </w:t>
      </w:r>
      <w:r>
        <w:t>висновки</w:t>
      </w:r>
      <w:r>
        <w:rPr>
          <w:spacing w:val="-8"/>
        </w:rPr>
        <w:t xml:space="preserve"> </w:t>
      </w:r>
      <w:r>
        <w:t>якого</w:t>
      </w:r>
      <w:r>
        <w:rPr>
          <w:spacing w:val="-7"/>
        </w:rPr>
        <w:t xml:space="preserve"> </w:t>
      </w:r>
      <w:r>
        <w:t>були</w:t>
      </w:r>
      <w:r>
        <w:rPr>
          <w:spacing w:val="-6"/>
        </w:rPr>
        <w:t xml:space="preserve"> </w:t>
      </w:r>
      <w:r>
        <w:t>опубліковані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2012</w:t>
      </w:r>
      <w:r>
        <w:rPr>
          <w:spacing w:val="-9"/>
        </w:rPr>
        <w:t xml:space="preserve"> </w:t>
      </w:r>
      <w:r>
        <w:t>році</w:t>
      </w:r>
      <w:r>
        <w:rPr>
          <w:spacing w:val="-9"/>
        </w:rPr>
        <w:t xml:space="preserve"> </w:t>
      </w:r>
      <w:r>
        <w:t>трьома</w:t>
      </w:r>
      <w:r>
        <w:rPr>
          <w:spacing w:val="-9"/>
        </w:rPr>
        <w:t xml:space="preserve"> </w:t>
      </w:r>
      <w:r>
        <w:t>мовами: французькою, англійською та арабською. Проект став результатом дворічного</w:t>
      </w:r>
      <w:r>
        <w:rPr>
          <w:spacing w:val="-10"/>
        </w:rPr>
        <w:t xml:space="preserve"> </w:t>
      </w:r>
      <w:r>
        <w:t>тісного</w:t>
      </w:r>
      <w:r>
        <w:rPr>
          <w:spacing w:val="-12"/>
        </w:rPr>
        <w:t xml:space="preserve"> </w:t>
      </w:r>
      <w:r>
        <w:t>співробітництва</w:t>
      </w:r>
      <w:r>
        <w:rPr>
          <w:spacing w:val="-12"/>
        </w:rPr>
        <w:t xml:space="preserve"> </w:t>
      </w:r>
      <w:r>
        <w:t>більш</w:t>
      </w:r>
      <w:r>
        <w:rPr>
          <w:spacing w:val="-12"/>
        </w:rPr>
        <w:t xml:space="preserve"> </w:t>
      </w:r>
      <w:r>
        <w:t>ніш</w:t>
      </w:r>
      <w:r>
        <w:rPr>
          <w:spacing w:val="-11"/>
        </w:rPr>
        <w:t xml:space="preserve"> </w:t>
      </w:r>
      <w:r>
        <w:t>п’ятнадцяти</w:t>
      </w:r>
      <w:r>
        <w:rPr>
          <w:spacing w:val="-11"/>
        </w:rPr>
        <w:t xml:space="preserve"> </w:t>
      </w:r>
      <w:r>
        <w:t>організацій зі всього Союзу Середземномор’я [1, 2] з метою виявлення основних принципів підтримки та розвитку спільної видавничої програми в області гуманітарних та соціальних наук. Підготовка і публікація здійснювалася міжнародним он</w:t>
      </w:r>
      <w:r>
        <w:rPr>
          <w:rFonts w:cs="Times New Roman"/>
        </w:rPr>
        <w:t>-</w:t>
      </w:r>
      <w:r>
        <w:t>лайн журналом «</w:t>
      </w:r>
      <w:r>
        <w:rPr>
          <w:rFonts w:cs="Times New Roman"/>
        </w:rPr>
        <w:t>Transeurop</w:t>
      </w:r>
      <w:r>
        <w:t>é</w:t>
      </w:r>
      <w:r>
        <w:rPr>
          <w:rFonts w:cs="Times New Roman"/>
        </w:rPr>
        <w:t>ennes</w:t>
      </w:r>
      <w:r>
        <w:t>» (Париж, Франція) [4] та міжнародною організацією «</w:t>
      </w:r>
      <w:r>
        <w:rPr>
          <w:rFonts w:cs="Times New Roman"/>
        </w:rPr>
        <w:t>The Anna Lindh Foundation for the Dialogue between Cultures</w:t>
      </w:r>
      <w:r>
        <w:t>» (Олександрія, Єгипет) [2] у</w:t>
      </w:r>
      <w:r>
        <w:rPr>
          <w:spacing w:val="-21"/>
        </w:rPr>
        <w:t xml:space="preserve"> </w:t>
      </w:r>
      <w:r>
        <w:t>партнерстві</w:t>
      </w:r>
      <w:r>
        <w:rPr>
          <w:spacing w:val="-19"/>
        </w:rPr>
        <w:t xml:space="preserve"> </w:t>
      </w:r>
      <w:r>
        <w:t>з</w:t>
      </w:r>
      <w:r>
        <w:rPr>
          <w:spacing w:val="-21"/>
        </w:rPr>
        <w:t xml:space="preserve"> </w:t>
      </w:r>
      <w:r>
        <w:t>фондом</w:t>
      </w:r>
      <w:r>
        <w:rPr>
          <w:spacing w:val="-18"/>
        </w:rPr>
        <w:t xml:space="preserve"> </w:t>
      </w:r>
      <w:r>
        <w:t>«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Next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Foudation</w:t>
      </w:r>
      <w:r>
        <w:t>»</w:t>
      </w:r>
      <w:r>
        <w:rPr>
          <w:spacing w:val="-26"/>
        </w:rPr>
        <w:t xml:space="preserve"> </w:t>
      </w:r>
      <w:r>
        <w:t>(Софія,</w:t>
      </w:r>
      <w:r>
        <w:rPr>
          <w:spacing w:val="-19"/>
        </w:rPr>
        <w:t xml:space="preserve"> </w:t>
      </w:r>
      <w:r>
        <w:t>Болгарія)</w:t>
      </w:r>
      <w:r>
        <w:rPr>
          <w:spacing w:val="-20"/>
        </w:rPr>
        <w:t xml:space="preserve"> </w:t>
      </w:r>
      <w:r>
        <w:t xml:space="preserve">[3]. </w:t>
      </w:r>
      <w:r w:rsidRPr="00A96239">
        <w:rPr>
          <w:lang w:val="ru-RU"/>
        </w:rPr>
        <w:t xml:space="preserve">Діяльність  зазначених  організацій  ґрунтується  на  передумові,   </w:t>
      </w:r>
      <w:r w:rsidRPr="00A96239">
        <w:rPr>
          <w:spacing w:val="52"/>
          <w:lang w:val="ru-RU"/>
        </w:rPr>
        <w:t xml:space="preserve"> </w:t>
      </w:r>
      <w:r w:rsidRPr="00A96239">
        <w:rPr>
          <w:lang w:val="ru-RU"/>
        </w:rPr>
        <w:t>що</w:t>
      </w:r>
    </w:p>
    <w:p w:rsidR="00A96239" w:rsidRPr="00A96239" w:rsidRDefault="00A96239" w:rsidP="00A96239">
      <w:pPr>
        <w:spacing w:line="288" w:lineRule="auto"/>
        <w:jc w:val="both"/>
        <w:rPr>
          <w:lang w:val="ru-RU"/>
        </w:rPr>
        <w:sectPr w:rsidR="00A96239" w:rsidRPr="00A96239">
          <w:pgSz w:w="11910" w:h="16840"/>
          <w:pgMar w:top="660" w:right="1280" w:bottom="280" w:left="1280" w:header="720" w:footer="720" w:gutter="0"/>
          <w:cols w:space="720"/>
        </w:sectPr>
      </w:pPr>
    </w:p>
    <w:p w:rsidR="00A96239" w:rsidRPr="00A96239" w:rsidRDefault="00A96239" w:rsidP="00A96239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A96239">
        <w:rPr>
          <w:rFonts w:ascii="Calibri"/>
          <w:lang w:val="ru-RU"/>
        </w:rPr>
        <w:lastRenderedPageBreak/>
        <w:t>340</w:t>
      </w:r>
    </w:p>
    <w:p w:rsidR="00A96239" w:rsidRPr="00A96239" w:rsidRDefault="00A96239" w:rsidP="00A96239">
      <w:pPr>
        <w:spacing w:before="1"/>
        <w:ind w:left="2296" w:right="120"/>
        <w:rPr>
          <w:rFonts w:ascii="Arial" w:eastAsia="Arial" w:hAnsi="Arial" w:cs="Arial"/>
          <w:lang w:val="ru-RU"/>
        </w:rPr>
      </w:pPr>
      <w:r w:rsidRPr="00A96239">
        <w:rPr>
          <w:rFonts w:ascii="Arial" w:hAnsi="Arial"/>
          <w:w w:val="80"/>
          <w:lang w:val="ru-RU"/>
        </w:rPr>
        <w:t>Матеріали  Міжнародної  науково-практичної</w:t>
      </w:r>
      <w:r w:rsidRPr="00A96239">
        <w:rPr>
          <w:rFonts w:ascii="Arial" w:hAnsi="Arial"/>
          <w:spacing w:val="6"/>
          <w:w w:val="80"/>
          <w:lang w:val="ru-RU"/>
        </w:rPr>
        <w:t xml:space="preserve"> </w:t>
      </w:r>
      <w:r w:rsidRPr="00A96239">
        <w:rPr>
          <w:rFonts w:ascii="Arial" w:hAnsi="Arial"/>
          <w:w w:val="80"/>
          <w:lang w:val="ru-RU"/>
        </w:rPr>
        <w:t>конференції</w:t>
      </w:r>
    </w:p>
    <w:p w:rsidR="00A96239" w:rsidRPr="00A96239" w:rsidRDefault="00A96239" w:rsidP="00A96239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28" style="position:absolute;margin-left:69.5pt;margin-top:10.5pt;width:456.45pt;height:.1pt;z-index:251661312;mso-wrap-distance-left:0;mso-wrap-distance-right:0;mso-position-horizontal-relative:page" coordorigin="1390,210" coordsize="9129,2">
            <v:shape id="_x0000_s1029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A96239" w:rsidRPr="00A96239" w:rsidRDefault="00A96239" w:rsidP="00A96239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A96239" w:rsidRPr="00A96239" w:rsidRDefault="00A96239" w:rsidP="00A96239">
      <w:pPr>
        <w:pStyle w:val="a3"/>
        <w:spacing w:before="61" w:line="288" w:lineRule="auto"/>
        <w:ind w:right="139" w:firstLine="0"/>
        <w:jc w:val="both"/>
        <w:rPr>
          <w:lang w:val="ru-RU"/>
        </w:rPr>
      </w:pPr>
      <w:r w:rsidRPr="00A96239">
        <w:rPr>
          <w:lang w:val="ru-RU"/>
        </w:rPr>
        <w:t>доступ до знань та інформації має вирішальне значення у процесі формуванні суспільства, а також у сприянні міжкультурному взаєморозумінню.</w:t>
      </w:r>
    </w:p>
    <w:p w:rsidR="00A96239" w:rsidRPr="00A96239" w:rsidRDefault="00A96239" w:rsidP="00A96239">
      <w:pPr>
        <w:pStyle w:val="a3"/>
        <w:spacing w:line="288" w:lineRule="auto"/>
        <w:ind w:right="136"/>
        <w:jc w:val="both"/>
        <w:rPr>
          <w:lang w:val="ru-RU"/>
        </w:rPr>
      </w:pPr>
      <w:r w:rsidRPr="00A96239">
        <w:rPr>
          <w:lang w:val="ru-RU"/>
        </w:rPr>
        <w:t>У дослідженні уточнюється роль перекладу знань гуманітарних і соціальних наук, літератури та театру у розвитку міжкультурності; висвітлюються численні труднощі економічних, культурних та політичних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відносин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у</w:t>
      </w:r>
      <w:r w:rsidRPr="00A96239">
        <w:rPr>
          <w:spacing w:val="-24"/>
          <w:lang w:val="ru-RU"/>
        </w:rPr>
        <w:t xml:space="preserve"> </w:t>
      </w:r>
      <w:r w:rsidRPr="00A96239">
        <w:rPr>
          <w:lang w:val="ru-RU"/>
        </w:rPr>
        <w:t>межах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Євро-Середземноморського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партнерства. Дослідниками виявлено досі неіснуючі статистичні дані щодо перекладів в зазначеному регіоні, здійснено їх якісний та кількісний аналіз, що слугувало підґрунтям для політичного бачення перекладу, як дефініції у будівництві</w:t>
      </w:r>
      <w:r w:rsidRPr="00A96239">
        <w:rPr>
          <w:spacing w:val="-6"/>
          <w:lang w:val="ru-RU"/>
        </w:rPr>
        <w:t xml:space="preserve"> </w:t>
      </w:r>
      <w:r w:rsidRPr="00A96239">
        <w:rPr>
          <w:lang w:val="ru-RU"/>
        </w:rPr>
        <w:t>спільного.</w:t>
      </w:r>
    </w:p>
    <w:p w:rsidR="00A96239" w:rsidRPr="00A96239" w:rsidRDefault="00A96239" w:rsidP="00A96239">
      <w:pPr>
        <w:pStyle w:val="a3"/>
        <w:spacing w:line="288" w:lineRule="auto"/>
        <w:ind w:right="132"/>
        <w:jc w:val="both"/>
        <w:rPr>
          <w:rFonts w:cs="Times New Roman"/>
          <w:lang w:val="ru-RU"/>
        </w:rPr>
      </w:pPr>
      <w:r w:rsidRPr="00A96239">
        <w:rPr>
          <w:lang w:val="ru-RU"/>
        </w:rPr>
        <w:t xml:space="preserve">Ретроспекція проекту охоплює </w:t>
      </w:r>
      <w:r w:rsidRPr="00A96239">
        <w:rPr>
          <w:spacing w:val="2"/>
          <w:lang w:val="ru-RU"/>
        </w:rPr>
        <w:t xml:space="preserve">25 </w:t>
      </w:r>
      <w:r w:rsidRPr="00A96239">
        <w:rPr>
          <w:lang w:val="ru-RU"/>
        </w:rPr>
        <w:t>років, починаючи з кінця 1980-х</w:t>
      </w:r>
      <w:r w:rsidRPr="00A96239">
        <w:rPr>
          <w:spacing w:val="-20"/>
          <w:lang w:val="ru-RU"/>
        </w:rPr>
        <w:t xml:space="preserve"> </w:t>
      </w:r>
      <w:r w:rsidRPr="00A96239">
        <w:rPr>
          <w:lang w:val="ru-RU"/>
        </w:rPr>
        <w:t>років</w:t>
      </w:r>
      <w:r w:rsidRPr="00A96239">
        <w:rPr>
          <w:spacing w:val="-21"/>
          <w:lang w:val="ru-RU"/>
        </w:rPr>
        <w:t xml:space="preserve"> </w:t>
      </w:r>
      <w:r w:rsidRPr="00A96239">
        <w:rPr>
          <w:lang w:val="ru-RU"/>
        </w:rPr>
        <w:t>і</w:t>
      </w:r>
      <w:r w:rsidRPr="00A96239">
        <w:rPr>
          <w:spacing w:val="-20"/>
          <w:lang w:val="ru-RU"/>
        </w:rPr>
        <w:t xml:space="preserve"> </w:t>
      </w:r>
      <w:r w:rsidRPr="00A96239">
        <w:rPr>
          <w:lang w:val="ru-RU"/>
        </w:rPr>
        <w:t>закінчуючи</w:t>
      </w:r>
      <w:r w:rsidRPr="00A96239">
        <w:rPr>
          <w:spacing w:val="-20"/>
          <w:lang w:val="ru-RU"/>
        </w:rPr>
        <w:t xml:space="preserve"> </w:t>
      </w:r>
      <w:r w:rsidRPr="00A96239">
        <w:rPr>
          <w:lang w:val="ru-RU"/>
        </w:rPr>
        <w:t>2011</w:t>
      </w:r>
      <w:r w:rsidRPr="00A96239">
        <w:rPr>
          <w:spacing w:val="-20"/>
          <w:lang w:val="ru-RU"/>
        </w:rPr>
        <w:t xml:space="preserve"> </w:t>
      </w:r>
      <w:r w:rsidRPr="00A96239">
        <w:rPr>
          <w:lang w:val="ru-RU"/>
        </w:rPr>
        <w:t>роком.</w:t>
      </w:r>
      <w:r w:rsidRPr="00A96239">
        <w:rPr>
          <w:spacing w:val="-23"/>
          <w:lang w:val="ru-RU"/>
        </w:rPr>
        <w:t xml:space="preserve"> </w:t>
      </w:r>
      <w:r w:rsidRPr="00A96239">
        <w:rPr>
          <w:lang w:val="ru-RU"/>
        </w:rPr>
        <w:t>Загальні</w:t>
      </w:r>
      <w:r w:rsidRPr="00A96239">
        <w:rPr>
          <w:spacing w:val="-20"/>
          <w:lang w:val="ru-RU"/>
        </w:rPr>
        <w:t xml:space="preserve"> </w:t>
      </w:r>
      <w:r w:rsidRPr="00A96239">
        <w:rPr>
          <w:lang w:val="ru-RU"/>
        </w:rPr>
        <w:t>висновки</w:t>
      </w:r>
      <w:r w:rsidRPr="00A96239">
        <w:rPr>
          <w:spacing w:val="-21"/>
          <w:lang w:val="ru-RU"/>
        </w:rPr>
        <w:t xml:space="preserve"> </w:t>
      </w:r>
      <w:r w:rsidRPr="00A96239">
        <w:rPr>
          <w:lang w:val="ru-RU"/>
        </w:rPr>
        <w:t>відображають результати 69 досліджень щодо потоків перекладів між арабською, турецькою мовами, івритом та мовами Європейського союзу, які розподіляються на: 1) вивчення пар мов: арабською (18 досліджень)</w:t>
      </w:r>
      <w:r w:rsidRPr="00A96239">
        <w:rPr>
          <w:spacing w:val="-45"/>
          <w:lang w:val="ru-RU"/>
        </w:rPr>
        <w:t xml:space="preserve"> </w:t>
      </w:r>
      <w:r w:rsidRPr="00A96239">
        <w:rPr>
          <w:lang w:val="ru-RU"/>
        </w:rPr>
        <w:t>та з арабської (11), турецькою (18) та з турецької (4), івритом (3) та з івриту</w:t>
      </w:r>
      <w:r w:rsidRPr="00A96239">
        <w:rPr>
          <w:spacing w:val="-24"/>
          <w:lang w:val="ru-RU"/>
        </w:rPr>
        <w:t xml:space="preserve"> </w:t>
      </w:r>
      <w:r w:rsidRPr="00A96239">
        <w:rPr>
          <w:lang w:val="ru-RU"/>
        </w:rPr>
        <w:t>(3);</w:t>
      </w:r>
      <w:r w:rsidRPr="00A96239">
        <w:rPr>
          <w:spacing w:val="-23"/>
          <w:lang w:val="ru-RU"/>
        </w:rPr>
        <w:t xml:space="preserve"> </w:t>
      </w:r>
      <w:r w:rsidRPr="00A96239">
        <w:rPr>
          <w:lang w:val="ru-RU"/>
        </w:rPr>
        <w:t>2)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тематичні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огляди</w:t>
      </w:r>
      <w:r w:rsidRPr="00A96239">
        <w:rPr>
          <w:spacing w:val="-23"/>
          <w:lang w:val="ru-RU"/>
        </w:rPr>
        <w:t xml:space="preserve"> </w:t>
      </w:r>
      <w:r w:rsidRPr="00A96239">
        <w:rPr>
          <w:lang w:val="ru-RU"/>
        </w:rPr>
        <w:t>перекладів</w:t>
      </w:r>
      <w:r w:rsidRPr="00A96239">
        <w:rPr>
          <w:spacing w:val="-23"/>
          <w:lang w:val="ru-RU"/>
        </w:rPr>
        <w:t xml:space="preserve"> </w:t>
      </w:r>
      <w:r w:rsidRPr="00A96239">
        <w:rPr>
          <w:lang w:val="ru-RU"/>
        </w:rPr>
        <w:t>у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таких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предметних</w:t>
      </w:r>
      <w:r w:rsidRPr="00A96239">
        <w:rPr>
          <w:spacing w:val="-22"/>
          <w:lang w:val="ru-RU"/>
        </w:rPr>
        <w:t xml:space="preserve"> </w:t>
      </w:r>
      <w:r w:rsidRPr="00A96239">
        <w:rPr>
          <w:lang w:val="ru-RU"/>
        </w:rPr>
        <w:t>областях як гуманітарні і соціальні науки, література і театр, серед яких понад 10 було покладено в основу дипломних досліджень [1,</w:t>
      </w:r>
      <w:r w:rsidRPr="00A96239">
        <w:rPr>
          <w:spacing w:val="-16"/>
          <w:lang w:val="ru-RU"/>
        </w:rPr>
        <w:t xml:space="preserve"> </w:t>
      </w:r>
      <w:r w:rsidRPr="00A96239">
        <w:rPr>
          <w:lang w:val="ru-RU"/>
        </w:rPr>
        <w:t>50-53].</w:t>
      </w:r>
    </w:p>
    <w:p w:rsidR="00A96239" w:rsidRPr="00A96239" w:rsidRDefault="00A96239" w:rsidP="00A96239">
      <w:pPr>
        <w:pStyle w:val="a3"/>
        <w:spacing w:before="3" w:line="288" w:lineRule="auto"/>
        <w:ind w:right="138"/>
        <w:jc w:val="both"/>
        <w:rPr>
          <w:lang w:val="ru-RU"/>
        </w:rPr>
      </w:pPr>
      <w:r w:rsidRPr="00A96239">
        <w:rPr>
          <w:lang w:val="ru-RU"/>
        </w:rPr>
        <w:t>Проект мобілізував близько 64 дослідників: науковців (з гуманітарних, соціальних наук, книгознавства, перекладознавства), фахівців видавництва і перекладачів, що дозволило отримати детальний аналіз і синтетичні дані стосовно кожної запропонованої теми.</w:t>
      </w:r>
      <w:r w:rsidRPr="00A96239">
        <w:rPr>
          <w:spacing w:val="-12"/>
          <w:lang w:val="ru-RU"/>
        </w:rPr>
        <w:t xml:space="preserve"> </w:t>
      </w:r>
      <w:r w:rsidRPr="00A96239">
        <w:rPr>
          <w:lang w:val="ru-RU"/>
        </w:rPr>
        <w:t>Згідно</w:t>
      </w:r>
      <w:r w:rsidRPr="00A96239">
        <w:rPr>
          <w:spacing w:val="-10"/>
          <w:lang w:val="ru-RU"/>
        </w:rPr>
        <w:t xml:space="preserve"> </w:t>
      </w:r>
      <w:r w:rsidRPr="00A96239">
        <w:rPr>
          <w:lang w:val="ru-RU"/>
        </w:rPr>
        <w:t>запропонованого</w:t>
      </w:r>
      <w:r w:rsidRPr="00A96239">
        <w:rPr>
          <w:spacing w:val="-11"/>
          <w:lang w:val="ru-RU"/>
        </w:rPr>
        <w:t xml:space="preserve"> </w:t>
      </w:r>
      <w:r w:rsidRPr="00A96239">
        <w:rPr>
          <w:lang w:val="ru-RU"/>
        </w:rPr>
        <w:t>підходу,</w:t>
      </w:r>
      <w:r w:rsidRPr="00A96239">
        <w:rPr>
          <w:spacing w:val="-12"/>
          <w:lang w:val="ru-RU"/>
        </w:rPr>
        <w:t xml:space="preserve"> </w:t>
      </w:r>
      <w:r w:rsidRPr="00A96239">
        <w:rPr>
          <w:lang w:val="ru-RU"/>
        </w:rPr>
        <w:t>до</w:t>
      </w:r>
      <w:r w:rsidRPr="00A96239">
        <w:rPr>
          <w:spacing w:val="-10"/>
          <w:lang w:val="ru-RU"/>
        </w:rPr>
        <w:t xml:space="preserve"> </w:t>
      </w:r>
      <w:r w:rsidRPr="00A96239">
        <w:rPr>
          <w:lang w:val="ru-RU"/>
        </w:rPr>
        <w:t>уваги</w:t>
      </w:r>
      <w:r w:rsidRPr="00A96239">
        <w:rPr>
          <w:spacing w:val="-12"/>
          <w:lang w:val="ru-RU"/>
        </w:rPr>
        <w:t xml:space="preserve"> </w:t>
      </w:r>
      <w:r w:rsidRPr="00A96239">
        <w:rPr>
          <w:lang w:val="ru-RU"/>
        </w:rPr>
        <w:t>дослідників</w:t>
      </w:r>
      <w:r w:rsidRPr="00A96239">
        <w:rPr>
          <w:spacing w:val="-11"/>
          <w:lang w:val="ru-RU"/>
        </w:rPr>
        <w:t xml:space="preserve"> </w:t>
      </w:r>
      <w:r w:rsidRPr="00A96239">
        <w:rPr>
          <w:lang w:val="ru-RU"/>
        </w:rPr>
        <w:t>взято</w:t>
      </w:r>
      <w:r w:rsidRPr="00A96239">
        <w:rPr>
          <w:spacing w:val="-10"/>
          <w:lang w:val="ru-RU"/>
        </w:rPr>
        <w:t xml:space="preserve"> </w:t>
      </w:r>
      <w:r w:rsidRPr="00A96239">
        <w:rPr>
          <w:lang w:val="ru-RU"/>
        </w:rPr>
        <w:t>весь ланцюжок перекладу: автори, перекладачі, видавці, книжкові магазини, бібліотекарі, літературні критики, програми фінансування перекладу, засоби масової інформації [1,</w:t>
      </w:r>
      <w:r w:rsidRPr="00A96239">
        <w:rPr>
          <w:spacing w:val="-14"/>
          <w:lang w:val="ru-RU"/>
        </w:rPr>
        <w:t xml:space="preserve"> </w:t>
      </w:r>
      <w:r w:rsidRPr="00A96239">
        <w:rPr>
          <w:lang w:val="ru-RU"/>
        </w:rPr>
        <w:t>9].</w:t>
      </w:r>
    </w:p>
    <w:p w:rsidR="00A96239" w:rsidRPr="00A96239" w:rsidRDefault="00A96239" w:rsidP="00A96239">
      <w:pPr>
        <w:pStyle w:val="a3"/>
        <w:spacing w:before="3" w:line="288" w:lineRule="auto"/>
        <w:ind w:right="135"/>
        <w:jc w:val="both"/>
        <w:rPr>
          <w:lang w:val="ru-RU"/>
        </w:rPr>
      </w:pPr>
      <w:r w:rsidRPr="00A96239">
        <w:rPr>
          <w:lang w:val="ru-RU"/>
        </w:rPr>
        <w:t xml:space="preserve">Всі дослідження було скоординовано та закріплено за наступними організаціями: </w:t>
      </w:r>
      <w:r>
        <w:rPr>
          <w:rFonts w:cs="Times New Roman"/>
        </w:rPr>
        <w:t>Transeurop</w:t>
      </w:r>
      <w:r w:rsidRPr="00A96239">
        <w:rPr>
          <w:lang w:val="ru-RU"/>
        </w:rPr>
        <w:t>é</w:t>
      </w:r>
      <w:r>
        <w:rPr>
          <w:rFonts w:cs="Times New Roman"/>
        </w:rPr>
        <w:t>ennes</w:t>
      </w:r>
      <w:r w:rsidRPr="00A96239">
        <w:rPr>
          <w:rFonts w:cs="Times New Roman"/>
          <w:lang w:val="ru-RU"/>
        </w:rPr>
        <w:t xml:space="preserve"> </w:t>
      </w:r>
      <w:r w:rsidRPr="00A96239">
        <w:rPr>
          <w:lang w:val="ru-RU"/>
        </w:rPr>
        <w:t xml:space="preserve">– 36 досліджень (Париж, Франція), фонд </w:t>
      </w:r>
      <w:r>
        <w:rPr>
          <w:rFonts w:cs="Times New Roman"/>
        </w:rPr>
        <w:t>Next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Page</w:t>
      </w:r>
      <w:r w:rsidRPr="00A96239">
        <w:rPr>
          <w:rFonts w:cs="Times New Roman"/>
          <w:lang w:val="ru-RU"/>
        </w:rPr>
        <w:t xml:space="preserve"> </w:t>
      </w:r>
      <w:r w:rsidRPr="00A96239">
        <w:rPr>
          <w:lang w:val="ru-RU"/>
        </w:rPr>
        <w:t>– 21 (Софія, Болгарія), Школа перекладачів Толедо (</w:t>
      </w:r>
      <w:r>
        <w:rPr>
          <w:rFonts w:cs="Times New Roman"/>
        </w:rPr>
        <w:t>Escuela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de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Traductores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de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Toledo</w:t>
      </w:r>
      <w:r w:rsidRPr="00A96239">
        <w:rPr>
          <w:rFonts w:cs="Times New Roman"/>
          <w:lang w:val="ru-RU"/>
        </w:rPr>
        <w:t xml:space="preserve">) </w:t>
      </w:r>
      <w:r w:rsidRPr="00A96239">
        <w:rPr>
          <w:lang w:val="ru-RU"/>
        </w:rPr>
        <w:t xml:space="preserve">– </w:t>
      </w:r>
      <w:r w:rsidRPr="00A96239">
        <w:rPr>
          <w:rFonts w:cs="Times New Roman"/>
          <w:lang w:val="ru-RU"/>
        </w:rPr>
        <w:t>4 (</w:t>
      </w:r>
      <w:r w:rsidRPr="00A96239">
        <w:rPr>
          <w:lang w:val="ru-RU"/>
        </w:rPr>
        <w:t>Іспанія), Університет Неаполя  (</w:t>
      </w:r>
      <w:r>
        <w:rPr>
          <w:rFonts w:cs="Times New Roman"/>
        </w:rPr>
        <w:t>Universit</w:t>
      </w:r>
      <w:r w:rsidRPr="00A96239">
        <w:rPr>
          <w:lang w:val="ru-RU"/>
        </w:rPr>
        <w:t xml:space="preserve">à  </w:t>
      </w:r>
      <w:r>
        <w:rPr>
          <w:rFonts w:cs="Times New Roman"/>
        </w:rPr>
        <w:t>degli</w:t>
      </w:r>
      <w:r w:rsidRPr="00A96239">
        <w:rPr>
          <w:rFonts w:cs="Times New Roman"/>
          <w:lang w:val="ru-RU"/>
        </w:rPr>
        <w:t xml:space="preserve">  </w:t>
      </w:r>
      <w:r>
        <w:rPr>
          <w:rFonts w:cs="Times New Roman"/>
        </w:rPr>
        <w:t>studi</w:t>
      </w:r>
      <w:r w:rsidRPr="00A96239">
        <w:rPr>
          <w:rFonts w:cs="Times New Roman"/>
          <w:lang w:val="ru-RU"/>
        </w:rPr>
        <w:t xml:space="preserve">  </w:t>
      </w:r>
      <w:r>
        <w:rPr>
          <w:rFonts w:cs="Times New Roman"/>
        </w:rPr>
        <w:t>di</w:t>
      </w:r>
      <w:r w:rsidRPr="00A96239">
        <w:rPr>
          <w:rFonts w:cs="Times New Roman"/>
          <w:lang w:val="ru-RU"/>
        </w:rPr>
        <w:t xml:space="preserve">  </w:t>
      </w:r>
      <w:r>
        <w:rPr>
          <w:rFonts w:cs="Times New Roman"/>
        </w:rPr>
        <w:t>Napoli</w:t>
      </w:r>
      <w:r w:rsidRPr="00A96239">
        <w:rPr>
          <w:rFonts w:cs="Times New Roman"/>
          <w:lang w:val="ru-RU"/>
        </w:rPr>
        <w:t xml:space="preserve">  </w:t>
      </w:r>
      <w:r>
        <w:rPr>
          <w:rFonts w:cs="Times New Roman"/>
        </w:rPr>
        <w:t>l</w:t>
      </w:r>
      <w:r w:rsidRPr="00A96239">
        <w:rPr>
          <w:rFonts w:cs="Times New Roman"/>
          <w:lang w:val="ru-RU"/>
        </w:rPr>
        <w:t>'</w:t>
      </w:r>
      <w:r>
        <w:rPr>
          <w:rFonts w:cs="Times New Roman"/>
        </w:rPr>
        <w:t>Orientale</w:t>
      </w:r>
      <w:r w:rsidRPr="00A96239">
        <w:rPr>
          <w:rFonts w:cs="Times New Roman"/>
          <w:lang w:val="ru-RU"/>
        </w:rPr>
        <w:t xml:space="preserve">)  </w:t>
      </w:r>
      <w:r w:rsidRPr="00A96239">
        <w:rPr>
          <w:lang w:val="ru-RU"/>
        </w:rPr>
        <w:t xml:space="preserve">–  3     </w:t>
      </w:r>
      <w:r w:rsidRPr="00A96239">
        <w:rPr>
          <w:spacing w:val="67"/>
          <w:lang w:val="ru-RU"/>
        </w:rPr>
        <w:t xml:space="preserve"> </w:t>
      </w:r>
      <w:r w:rsidRPr="00A96239">
        <w:rPr>
          <w:lang w:val="ru-RU"/>
        </w:rPr>
        <w:t>(Італія),</w:t>
      </w:r>
    </w:p>
    <w:p w:rsidR="00A96239" w:rsidRPr="00A96239" w:rsidRDefault="00A96239" w:rsidP="00A96239">
      <w:pPr>
        <w:spacing w:line="288" w:lineRule="auto"/>
        <w:jc w:val="both"/>
        <w:rPr>
          <w:lang w:val="ru-RU"/>
        </w:rPr>
        <w:sectPr w:rsidR="00A96239" w:rsidRPr="00A96239">
          <w:pgSz w:w="11910" w:h="16840"/>
          <w:pgMar w:top="660" w:right="1280" w:bottom="280" w:left="1280" w:header="720" w:footer="720" w:gutter="0"/>
          <w:cols w:space="720"/>
        </w:sectPr>
      </w:pPr>
    </w:p>
    <w:p w:rsidR="00A96239" w:rsidRPr="00A96239" w:rsidRDefault="00A96239" w:rsidP="00A96239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A96239">
        <w:rPr>
          <w:rFonts w:ascii="Calibri"/>
          <w:spacing w:val="-1"/>
          <w:lang w:val="ru-RU"/>
        </w:rPr>
        <w:lastRenderedPageBreak/>
        <w:t>341</w:t>
      </w:r>
    </w:p>
    <w:p w:rsidR="00A96239" w:rsidRPr="00A96239" w:rsidRDefault="00A96239" w:rsidP="00A96239">
      <w:pPr>
        <w:ind w:left="666" w:right="120"/>
        <w:rPr>
          <w:rFonts w:ascii="Calibri" w:eastAsia="Calibri" w:hAnsi="Calibri" w:cs="Calibri"/>
          <w:lang w:val="ru-RU"/>
        </w:rPr>
      </w:pPr>
      <w:r w:rsidRPr="00A96239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A96239">
        <w:rPr>
          <w:rFonts w:ascii="Calibri" w:hAnsi="Calibri"/>
          <w:spacing w:val="-18"/>
          <w:lang w:val="ru-RU"/>
        </w:rPr>
        <w:t xml:space="preserve"> </w:t>
      </w:r>
      <w:r w:rsidRPr="00A96239">
        <w:rPr>
          <w:rFonts w:ascii="Calibri" w:hAnsi="Calibri"/>
          <w:lang w:val="ru-RU"/>
        </w:rPr>
        <w:t>інновації</w:t>
      </w:r>
    </w:p>
    <w:p w:rsidR="00A96239" w:rsidRPr="00A96239" w:rsidRDefault="00A96239" w:rsidP="00A96239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30" style="position:absolute;margin-left:69.5pt;margin-top:11.2pt;width:456.45pt;height:.1pt;z-index:251662336;mso-wrap-distance-left:0;mso-wrap-distance-right:0;mso-position-horizontal-relative:page" coordorigin="1390,224" coordsize="9129,2">
            <v:shape id="_x0000_s1031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A96239" w:rsidRPr="00A96239" w:rsidRDefault="00A96239" w:rsidP="00A96239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A96239" w:rsidRDefault="00A96239" w:rsidP="00A96239">
      <w:pPr>
        <w:pStyle w:val="a3"/>
        <w:spacing w:before="61" w:line="288" w:lineRule="auto"/>
        <w:ind w:right="133" w:firstLine="0"/>
        <w:jc w:val="both"/>
      </w:pPr>
      <w:r w:rsidRPr="00A96239">
        <w:rPr>
          <w:lang w:val="ru-RU"/>
        </w:rPr>
        <w:t>організація «</w:t>
      </w:r>
      <w:r>
        <w:rPr>
          <w:rFonts w:cs="Times New Roman"/>
        </w:rPr>
        <w:t>Literature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Across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Frontiers</w:t>
      </w:r>
      <w:r w:rsidRPr="00A96239">
        <w:rPr>
          <w:lang w:val="ru-RU"/>
        </w:rPr>
        <w:t xml:space="preserve">» Університету Аберістуіта </w:t>
      </w:r>
      <w:r w:rsidRPr="00A96239">
        <w:rPr>
          <w:rFonts w:cs="Times New Roman"/>
          <w:lang w:val="ru-RU"/>
        </w:rPr>
        <w:t>(</w:t>
      </w:r>
      <w:r>
        <w:rPr>
          <w:rFonts w:cs="Times New Roman"/>
        </w:rPr>
        <w:t>Aberystwyth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University</w:t>
      </w:r>
      <w:r w:rsidRPr="00A96239">
        <w:rPr>
          <w:rFonts w:cs="Times New Roman"/>
          <w:lang w:val="ru-RU"/>
        </w:rPr>
        <w:t xml:space="preserve">) </w:t>
      </w:r>
      <w:r w:rsidRPr="00A96239">
        <w:rPr>
          <w:lang w:val="ru-RU"/>
        </w:rPr>
        <w:t>– 3 (Уельс, Велика Британія), Турецька асоціація літературних перекладачів Ç</w:t>
      </w:r>
      <w:r>
        <w:rPr>
          <w:rFonts w:cs="Times New Roman"/>
        </w:rPr>
        <w:t>EVBIR</w:t>
      </w:r>
      <w:r w:rsidRPr="00A96239">
        <w:rPr>
          <w:rFonts w:cs="Times New Roman"/>
          <w:lang w:val="ru-RU"/>
        </w:rPr>
        <w:t xml:space="preserve"> </w:t>
      </w:r>
      <w:r w:rsidRPr="00A96239">
        <w:rPr>
          <w:lang w:val="ru-RU"/>
        </w:rPr>
        <w:t>– 1 (Стамбул, Туреччина), фонд короля Абдул</w:t>
      </w:r>
      <w:r w:rsidRPr="00A96239">
        <w:rPr>
          <w:rFonts w:cs="Times New Roman"/>
          <w:lang w:val="ru-RU"/>
        </w:rPr>
        <w:t>-</w:t>
      </w:r>
      <w:r w:rsidRPr="00A96239">
        <w:rPr>
          <w:lang w:val="ru-RU"/>
        </w:rPr>
        <w:t>Азіза (</w:t>
      </w:r>
      <w:r>
        <w:rPr>
          <w:rFonts w:cs="Times New Roman"/>
        </w:rPr>
        <w:t>King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Abdul</w:t>
      </w:r>
      <w:r w:rsidRPr="00A96239">
        <w:rPr>
          <w:rFonts w:cs="Times New Roman"/>
          <w:lang w:val="ru-RU"/>
        </w:rPr>
        <w:t>-</w:t>
      </w:r>
      <w:r>
        <w:rPr>
          <w:rFonts w:cs="Times New Roman"/>
        </w:rPr>
        <w:t>Aziz</w:t>
      </w:r>
      <w:r w:rsidRPr="00A96239">
        <w:rPr>
          <w:rFonts w:cs="Times New Roman"/>
          <w:lang w:val="ru-RU"/>
        </w:rPr>
        <w:t xml:space="preserve"> </w:t>
      </w:r>
      <w:r>
        <w:rPr>
          <w:rFonts w:cs="Times New Roman"/>
        </w:rPr>
        <w:t>Foundation</w:t>
      </w:r>
      <w:r w:rsidRPr="00A96239">
        <w:rPr>
          <w:rFonts w:cs="Times New Roman"/>
          <w:lang w:val="ru-RU"/>
        </w:rPr>
        <w:t xml:space="preserve">) </w:t>
      </w:r>
      <w:r w:rsidRPr="00A96239">
        <w:rPr>
          <w:lang w:val="ru-RU"/>
        </w:rPr>
        <w:t xml:space="preserve">– 1 (Касабланка, Марокко) [1, 8]. </w:t>
      </w:r>
      <w:r>
        <w:t xml:space="preserve">Координаторами проекту «А Mapping </w:t>
      </w:r>
      <w:r>
        <w:rPr>
          <w:rFonts w:cs="Times New Roman"/>
        </w:rPr>
        <w:t>of translation in the Euro-</w:t>
      </w:r>
      <w:r>
        <w:t>Mediterranean» також відмічено тісну співпрацю з командою фахівців міжнародної бібліографічної бази даних ЮНЕСКО «</w:t>
      </w:r>
      <w:r>
        <w:rPr>
          <w:rFonts w:cs="Times New Roman"/>
        </w:rPr>
        <w:t>Index Translationum</w:t>
      </w:r>
      <w:r>
        <w:t>», яка була зацікавлена в уточненні та оновленні даних [1,</w:t>
      </w:r>
      <w:r>
        <w:rPr>
          <w:spacing w:val="-11"/>
        </w:rPr>
        <w:t xml:space="preserve"> </w:t>
      </w:r>
      <w:r>
        <w:t>11].</w:t>
      </w:r>
    </w:p>
    <w:p w:rsidR="00A96239" w:rsidRDefault="00A96239" w:rsidP="00A96239">
      <w:pPr>
        <w:pStyle w:val="a3"/>
        <w:spacing w:before="3"/>
        <w:ind w:left="846" w:right="120" w:firstLine="0"/>
      </w:pPr>
      <w:r>
        <w:t>Перша частина досліджень проекту була опублікована на</w:t>
      </w:r>
      <w:r>
        <w:rPr>
          <w:spacing w:val="-16"/>
        </w:rPr>
        <w:t xml:space="preserve"> </w:t>
      </w:r>
      <w:r>
        <w:t>cайті</w:t>
      </w:r>
    </w:p>
    <w:p w:rsidR="00A96239" w:rsidRPr="00A96239" w:rsidRDefault="00A96239" w:rsidP="00A96239">
      <w:pPr>
        <w:pStyle w:val="a3"/>
        <w:spacing w:before="68" w:line="288" w:lineRule="auto"/>
        <w:ind w:right="133" w:firstLine="0"/>
        <w:jc w:val="both"/>
        <w:rPr>
          <w:rFonts w:cs="Times New Roman"/>
          <w:lang w:val="ru-RU"/>
        </w:rPr>
      </w:pPr>
      <w:r>
        <w:t xml:space="preserve">«Transeuropéennes» в грудні 2010 року, дослідження щодо пар мов – влітку 2011. </w:t>
      </w:r>
      <w:r w:rsidRPr="00A96239">
        <w:rPr>
          <w:lang w:val="ru-RU"/>
        </w:rPr>
        <w:t xml:space="preserve">Результати проекту публічно обговорювались на конференціях і семінарах: в Олександрії (2010); у Франції (2011); Брюсселі та Парижі (2012); Рабаті, Аммані, Мадриді та Бейруті (2013) </w:t>
      </w:r>
      <w:r w:rsidRPr="00A96239">
        <w:rPr>
          <w:rFonts w:cs="Times New Roman"/>
          <w:lang w:val="ru-RU"/>
        </w:rPr>
        <w:t>[1,</w:t>
      </w:r>
      <w:r w:rsidRPr="00A96239">
        <w:rPr>
          <w:rFonts w:cs="Times New Roman"/>
          <w:spacing w:val="-3"/>
          <w:lang w:val="ru-RU"/>
        </w:rPr>
        <w:t xml:space="preserve"> </w:t>
      </w:r>
      <w:r w:rsidRPr="00A96239">
        <w:rPr>
          <w:rFonts w:cs="Times New Roman"/>
          <w:lang w:val="ru-RU"/>
        </w:rPr>
        <w:t>8].</w:t>
      </w:r>
    </w:p>
    <w:p w:rsidR="00A96239" w:rsidRDefault="00A96239" w:rsidP="00A96239">
      <w:pPr>
        <w:spacing w:before="10" w:line="319" w:lineRule="exact"/>
        <w:ind w:left="133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Література</w:t>
      </w:r>
    </w:p>
    <w:p w:rsidR="00A96239" w:rsidRDefault="00A96239" w:rsidP="00A96239">
      <w:pPr>
        <w:pStyle w:val="a5"/>
        <w:numPr>
          <w:ilvl w:val="0"/>
          <w:numId w:val="1"/>
        </w:numPr>
        <w:tabs>
          <w:tab w:val="left" w:pos="706"/>
          <w:tab w:val="left" w:pos="2346"/>
          <w:tab w:val="left" w:pos="3280"/>
          <w:tab w:val="left" w:pos="3868"/>
          <w:tab w:val="left" w:pos="5049"/>
          <w:tab w:val="left" w:pos="6314"/>
          <w:tab w:val="left" w:pos="6902"/>
          <w:tab w:val="left" w:pos="8171"/>
        </w:tabs>
        <w:ind w:right="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mapping of translation in the Euro-Mediterranean region [Електронний ресурс] / Final overview and compilation Ghislaine Glasson Deschaumes // Transeuropéennes: Intrnational Jornal of Critical Thought. – 2012. – Електрон.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дан.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[Б.м.],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[2014].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Спосіб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доступу: WorldWideWeb:URL: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 xml:space="preserve">http://www.transeuropeennes.eu/ </w:t>
        </w:r>
      </w:hyperlink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ressources/pdfs/TIM_2012_Conclusions_and_recommandations_116.pdf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Мова англ. – Заголовок з екрану. – Бібліогр. опис зроблено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10.03.2015.</w:t>
      </w:r>
    </w:p>
    <w:p w:rsidR="00A96239" w:rsidRDefault="00A96239" w:rsidP="00A96239">
      <w:pPr>
        <w:pStyle w:val="a5"/>
        <w:numPr>
          <w:ilvl w:val="0"/>
          <w:numId w:val="1"/>
        </w:numPr>
        <w:tabs>
          <w:tab w:val="left" w:pos="706"/>
        </w:tabs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Anna Lindh Foundation [Електронний ресурс]. – Електрон. дан. – [Олександрія], [2015]. – Спосіб доступу: WorldWideWeb: URL: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http://www.annalindhfoundation.org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– Мова англ. – Заголовок з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екрану.</w:t>
      </w:r>
    </w:p>
    <w:p w:rsidR="00A96239" w:rsidRDefault="00A96239" w:rsidP="00A96239">
      <w:pPr>
        <w:spacing w:before="2"/>
        <w:ind w:left="705"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Бібліогр. опис зроблено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10.03.2015.</w:t>
      </w:r>
    </w:p>
    <w:p w:rsidR="00A96239" w:rsidRDefault="00A96239" w:rsidP="00A96239">
      <w:pPr>
        <w:pStyle w:val="a5"/>
        <w:numPr>
          <w:ilvl w:val="0"/>
          <w:numId w:val="1"/>
        </w:numPr>
        <w:tabs>
          <w:tab w:val="left" w:pos="706"/>
        </w:tabs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Page Foudation [Електронний ресурс]. – Електрон. дан. – [Софія], [2015].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доступу: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WorldWideWeb: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http://www.npage.org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Мова англ. – Заголовок з екрану. – Бібліогр. опис зроблено</w:t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10.03.2015.</w:t>
      </w:r>
    </w:p>
    <w:p w:rsidR="00A96239" w:rsidRDefault="00A96239" w:rsidP="00A96239">
      <w:pPr>
        <w:pStyle w:val="a5"/>
        <w:numPr>
          <w:ilvl w:val="0"/>
          <w:numId w:val="1"/>
        </w:numPr>
        <w:tabs>
          <w:tab w:val="left" w:pos="706"/>
        </w:tabs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Transeuropéennes [Електронний ресурс]. – Електрон. дан. – [Париж], [2014]. – Спосіб доступу: WorldWideWeb: URL: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http://www.transeuropeennes.eu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Мова англ. – Заголовок з екрану. – Бібліогр. опис зроблено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10.03.2015.</w:t>
      </w:r>
    </w:p>
    <w:p w:rsidR="000D501B" w:rsidRDefault="000D501B"/>
    <w:sectPr w:rsidR="000D501B" w:rsidSect="000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42C"/>
    <w:multiLevelType w:val="hybridMultilevel"/>
    <w:tmpl w:val="90D6DA4E"/>
    <w:lvl w:ilvl="0" w:tplc="9B9C4EDC">
      <w:start w:val="1"/>
      <w:numFmt w:val="decimal"/>
      <w:lvlText w:val="%1."/>
      <w:lvlJc w:val="left"/>
      <w:pPr>
        <w:ind w:left="705" w:hanging="36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D32830A">
      <w:start w:val="1"/>
      <w:numFmt w:val="decimal"/>
      <w:lvlText w:val="%2."/>
      <w:lvlJc w:val="left"/>
      <w:pPr>
        <w:ind w:left="138" w:hanging="708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AA2AB9C4">
      <w:start w:val="1"/>
      <w:numFmt w:val="bullet"/>
      <w:lvlText w:val="•"/>
      <w:lvlJc w:val="left"/>
      <w:pPr>
        <w:ind w:left="920" w:hanging="708"/>
      </w:pPr>
      <w:rPr>
        <w:rFonts w:hint="default"/>
      </w:rPr>
    </w:lvl>
    <w:lvl w:ilvl="3" w:tplc="3F007372">
      <w:start w:val="1"/>
      <w:numFmt w:val="bullet"/>
      <w:lvlText w:val="•"/>
      <w:lvlJc w:val="left"/>
      <w:pPr>
        <w:ind w:left="1973" w:hanging="708"/>
      </w:pPr>
      <w:rPr>
        <w:rFonts w:hint="default"/>
      </w:rPr>
    </w:lvl>
    <w:lvl w:ilvl="4" w:tplc="56AC778E">
      <w:start w:val="1"/>
      <w:numFmt w:val="bullet"/>
      <w:lvlText w:val="•"/>
      <w:lvlJc w:val="left"/>
      <w:pPr>
        <w:ind w:left="3026" w:hanging="708"/>
      </w:pPr>
      <w:rPr>
        <w:rFonts w:hint="default"/>
      </w:rPr>
    </w:lvl>
    <w:lvl w:ilvl="5" w:tplc="FE5A58F0">
      <w:start w:val="1"/>
      <w:numFmt w:val="bullet"/>
      <w:lvlText w:val="•"/>
      <w:lvlJc w:val="left"/>
      <w:pPr>
        <w:ind w:left="4079" w:hanging="708"/>
      </w:pPr>
      <w:rPr>
        <w:rFonts w:hint="default"/>
      </w:rPr>
    </w:lvl>
    <w:lvl w:ilvl="6" w:tplc="5ED0C890">
      <w:start w:val="1"/>
      <w:numFmt w:val="bullet"/>
      <w:lvlText w:val="•"/>
      <w:lvlJc w:val="left"/>
      <w:pPr>
        <w:ind w:left="5133" w:hanging="708"/>
      </w:pPr>
      <w:rPr>
        <w:rFonts w:hint="default"/>
      </w:rPr>
    </w:lvl>
    <w:lvl w:ilvl="7" w:tplc="CA965880">
      <w:start w:val="1"/>
      <w:numFmt w:val="bullet"/>
      <w:lvlText w:val="•"/>
      <w:lvlJc w:val="left"/>
      <w:pPr>
        <w:ind w:left="6186" w:hanging="708"/>
      </w:pPr>
      <w:rPr>
        <w:rFonts w:hint="default"/>
      </w:rPr>
    </w:lvl>
    <w:lvl w:ilvl="8" w:tplc="92D8F000">
      <w:start w:val="1"/>
      <w:numFmt w:val="bullet"/>
      <w:lvlText w:val="•"/>
      <w:lvlJc w:val="left"/>
      <w:pPr>
        <w:ind w:left="723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96239"/>
    <w:rsid w:val="000D501B"/>
    <w:rsid w:val="00A9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623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6239"/>
    <w:pPr>
      <w:spacing w:before="1"/>
      <w:ind w:left="138" w:firstLine="707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96239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Heading4">
    <w:name w:val="Heading 4"/>
    <w:basedOn w:val="a"/>
    <w:uiPriority w:val="1"/>
    <w:qFormat/>
    <w:rsid w:val="00A96239"/>
    <w:pPr>
      <w:ind w:left="6783"/>
      <w:outlineLvl w:val="4"/>
    </w:pPr>
    <w:rPr>
      <w:rFonts w:ascii="Times New Roman" w:eastAsia="Times New Roman" w:hAnsi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A9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alindh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europeennes.eu/%20ressources/pdfs/TIM_2012_Conclusions_and_recommandations_1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nseuropeennes.eu/%20ressources/pdfs/TIM_2012_Conclusions_and_recommandations_11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nseuropeennes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2016-01-12T15:28:00Z</dcterms:created>
  <dcterms:modified xsi:type="dcterms:W3CDTF">2016-01-12T15:29:00Z</dcterms:modified>
</cp:coreProperties>
</file>